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A27CE">
      <w:pPr>
        <w:spacing w:line="240" w:lineRule="atLeast"/>
        <w:rPr>
          <w:rFonts w:ascii="굴림체" w:eastAsia="굴림체" w:hAnsi="굴림체"/>
          <w:sz w:val="18"/>
          <w:szCs w:val="18"/>
        </w:rPr>
      </w:pPr>
      <w:bookmarkStart w:id="0" w:name="_GoBack"/>
      <w:bookmarkEnd w:id="0"/>
    </w:p>
    <w:tbl>
      <w:tblPr>
        <w:tblW w:w="115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0"/>
        <w:gridCol w:w="256"/>
        <w:gridCol w:w="1553"/>
        <w:gridCol w:w="1553"/>
        <w:gridCol w:w="1553"/>
      </w:tblGrid>
      <w:tr w:rsidR="00000000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000000" w:rsidRDefault="004A27CE">
            <w:pPr>
              <w:spacing w:line="15" w:lineRule="atLeas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4A27CE">
            <w:pPr>
              <w:spacing w:line="15" w:lineRule="atLeas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00000" w:rsidRDefault="004A27CE">
            <w:pPr>
              <w:spacing w:line="15" w:lineRule="atLeas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00000" w:rsidRDefault="004A27CE">
            <w:pPr>
              <w:spacing w:line="15" w:lineRule="atLeas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00000" w:rsidRDefault="004A27CE">
            <w:pPr>
              <w:spacing w:line="15" w:lineRule="atLeast"/>
              <w:jc w:val="righ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 </w:t>
            </w:r>
          </w:p>
        </w:tc>
      </w:tr>
      <w:tr w:rsidR="00000000">
        <w:trPr>
          <w:trHeight w:val="405"/>
          <w:tblCellSpacing w:w="0" w:type="dxa"/>
          <w:jc w:val="center"/>
        </w:trPr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000000" w:rsidRDefault="004A27CE">
            <w:pPr>
              <w:spacing w:line="240" w:lineRule="atLeas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/>
                <w:noProof/>
                <w:sz w:val="18"/>
                <w:szCs w:val="18"/>
              </w:rPr>
              <w:drawing>
                <wp:inline distT="0" distB="0" distL="0" distR="0">
                  <wp:extent cx="428625" cy="257175"/>
                  <wp:effectExtent l="0" t="0" r="9525" b="9525"/>
                  <wp:docPr id="1" name="그림 1" descr="http://office.noroo.co.kr/msds/home/images/nor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ffice.noroo.co.kr/msds/home/images/nor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  [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물질안전보건자료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(MSDS)]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4A27CE">
            <w:pPr>
              <w:spacing w:line="240" w:lineRule="atLeast"/>
              <w:jc w:val="righ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(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이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자료는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산업안전보건법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제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41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조에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의거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작성된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것임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)</w:t>
            </w:r>
          </w:p>
        </w:tc>
      </w:tr>
      <w:tr w:rsidR="00000000">
        <w:trPr>
          <w:trHeight w:val="45"/>
          <w:tblCellSpacing w:w="0" w:type="dxa"/>
          <w:jc w:val="center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000000" w:rsidRDefault="004A27CE">
            <w:pPr>
              <w:spacing w:line="240" w:lineRule="atLeast"/>
              <w:rPr>
                <w:rFonts w:ascii="굴림체" w:eastAsia="굴림체" w:hAnsi="굴림체"/>
                <w:sz w:val="4"/>
                <w:szCs w:val="18"/>
              </w:rPr>
            </w:pPr>
          </w:p>
        </w:tc>
      </w:tr>
      <w:tr w:rsidR="00000000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000" w:rsidRDefault="004A27CE">
            <w:pPr>
              <w:spacing w:line="240" w:lineRule="atLeast"/>
              <w:rPr>
                <w:rFonts w:ascii="굴림체" w:eastAsia="굴림체" w:hAnsi="굴림체"/>
                <w:sz w:val="2"/>
                <w:szCs w:val="18"/>
              </w:rPr>
            </w:pPr>
          </w:p>
        </w:tc>
      </w:tr>
      <w:tr w:rsidR="00000000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000000" w:rsidRDefault="004A27CE">
            <w:pPr>
              <w:spacing w:line="240" w:lineRule="atLeast"/>
              <w:rPr>
                <w:rFonts w:ascii="굴림체" w:eastAsia="굴림체" w:hAnsi="굴림체"/>
                <w:sz w:val="2"/>
                <w:szCs w:val="18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27CE">
            <w:pPr>
              <w:spacing w:line="240" w:lineRule="atLeast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27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27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27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27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00000" w:rsidRDefault="004A27CE">
      <w:pPr>
        <w:spacing w:line="240" w:lineRule="atLeast"/>
        <w:rPr>
          <w:rFonts w:ascii="굴림체" w:eastAsia="굴림체" w:hAnsi="굴림체"/>
          <w:vanish/>
          <w:sz w:val="18"/>
          <w:szCs w:val="18"/>
        </w:rPr>
      </w:pPr>
    </w:p>
    <w:tbl>
      <w:tblPr>
        <w:tblW w:w="1153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5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1.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화학제품과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회사에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관한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정보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제품명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하이큐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하이브리드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프라서페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PS-990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우레탄주제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제품의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권고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용도와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사용상의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제한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  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권고용도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자동차보수용도료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  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사용상의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권고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용도외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제한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제조사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공급자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유통업자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정보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  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회사명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노루페인트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  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주소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경기도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안양시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만안구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박달로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351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  3)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정보제공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긴급연락처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031-467-6114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자보기술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박희용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유해성·위험성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유해성·위험성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인화성액체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▷급성독성물질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▷발암성물질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▷특정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표적장기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▷특정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표적장기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▷특정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표적장기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 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예방조치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문구를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표지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항목</w:t>
                  </w:r>
                </w:p>
              </w:tc>
            </w:tr>
            <w:tr w:rsidR="00000000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5"/>
                    <w:gridCol w:w="475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1)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그림문자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굴림체" w:eastAsia="굴림체" w:hAnsi="굴림체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2" name="그림 2" descr="불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불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3" name="그림 3" descr="해골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해골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굴림체" w:eastAsia="굴림체" w:hAnsi="굴림체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4" name="그림 4" descr="사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사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신호어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유해·위험문구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H226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인화성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액체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H331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흡입하면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H350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암을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H370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장기에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(11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항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참조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(MSDS)).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H371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장기에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(11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항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참조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(MSDS)).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H335+H336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졸음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현기증을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예방조치문구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P210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열·스파크·화염·고열로부터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멀리하시오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P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233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단단히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밀폐하시오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P240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용기·수용설비를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접지·접합시키시오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P241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폭발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방지용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전기·환기·조명·장비를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P242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스파크가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발생하지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도구를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P243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정전기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P280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보호장갑·보호의·보안경·안면보호구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P260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분진·흄·가스·미스트·증기·스프레이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P201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설명서를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확보하시오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모든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예방조치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문구를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읽고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이해하기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P281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개인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P264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후에는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철저히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씻으시오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P270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때에는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먹거나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마시거나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흡연하지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P261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분진·흄·가스·미스트·증기·스프레이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P271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옥외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환기가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곳에서만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0" w:type="dxa"/>
                    <w:bottom w:w="30" w:type="dxa"/>
                    <w:right w:w="3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P303+P361+P353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머리카락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묻으면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모든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의복은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벗거나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제거하시오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씻으시오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샤워하시오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P370+P378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끄기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소화제를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(5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항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참조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P304+P340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흡입하면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신선한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공기가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곳으로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옮기고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호흡하기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쉬운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자세로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안정을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P311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의료기관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진찰을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P308+P313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접촉이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우려되면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의학적인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조언·주의를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P307+P311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노출되면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의료기관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도움을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P321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필요한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처치를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P309+P311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불편함을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느끼면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의료기관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도움을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P312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불편함을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느끼면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의료기관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진찰을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0" w:type="dxa"/>
                    <w:bottom w:w="30" w:type="dxa"/>
                    <w:right w:w="3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P403+P235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환기가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곳에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보관하고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저온으로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유지하시오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P403+P233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환기가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곳에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단단히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밀폐하여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저장하시오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P405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밀봉하여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저장하시오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0" w:type="dxa"/>
                    <w:bottom w:w="30" w:type="dxa"/>
                    <w:right w:w="3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P501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법규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폐기물관리법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명시된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내용에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따라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내용물·용기를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유해성·위험성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분류기준에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유해성·위험성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1"/>
                    <w:gridCol w:w="900"/>
                    <w:gridCol w:w="900"/>
                    <w:gridCol w:w="900"/>
                  </w:tblGrid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물질명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NFPA</w:t>
                        </w: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지수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rPr>
                            <w:rFonts w:ascii="굴림체" w:eastAsia="굴림체" w:hAnsi="굴림체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보건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화재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반응성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금홍석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이산화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티타늄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n-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뷰틸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S1(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영업비밀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없음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없음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없음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황산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바륨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탈크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석면이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함유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되어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있지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않은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메톡시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-1-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메틸에틸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1-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메톡시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프로필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방향족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경질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나프타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용매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석유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자일렌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다이메틸벤젠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자료없음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자료없음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자료없음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아세트산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에틸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에틸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펜탄온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메틸아이소뷰틸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케톤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S2(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영업비밀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없음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없음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없음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에탄올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000000" w:rsidRDefault="004A27CE">
                  <w:pPr>
                    <w:spacing w:line="240" w:lineRule="atLeast"/>
                    <w:jc w:val="righ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구성성분의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명칭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함유량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  <w:gridCol w:w="3177"/>
                    <w:gridCol w:w="1500"/>
                    <w:gridCol w:w="15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화학물질명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이</w:t>
                        </w: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명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CAS</w:t>
                        </w: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번호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함유량</w:t>
                        </w:r>
                        <w:r>
                          <w:rPr>
                            <w:rFonts w:ascii="굴림체" w:eastAsia="굴림체" w:hAnsi="굴림체" w:hint="eastAsia"/>
                            <w:b/>
                            <w:bCs/>
                            <w:sz w:val="18"/>
                            <w:szCs w:val="18"/>
                          </w:rPr>
                          <w:t>(%)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금홍석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이산화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티타늄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Rutile(TiO2)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1317-80-2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31 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n-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뷰틸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n-Butyl acetate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123-86-4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32 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S1(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영업비밀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26 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황산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바륨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Barium sulfate, natural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7727-43-7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17 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탈크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석면이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함유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되어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있지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않은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Talc (Not containing asbestos)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14807-96-6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12 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메톡시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-1-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메틸에틸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1-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메톡시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프로필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Propylene glycol methyl ether acetate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108-65-6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14 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방향족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경질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나프타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용매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석유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Solvent naphtha (petroleum), light arom.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64742-95-6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10 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자일렌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다이메틸벤젠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Xylene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1330-20-7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10 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아세트산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에틸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에틸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아세테이트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Acetic acid ethyl ester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141-78-6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10 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펜탄온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; 2-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메틸아이소뷰틸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케톤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4-Methyl-2-pentanone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108-10-1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10 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S2(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영업비밀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-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10 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에탄올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Ethanol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64-17-5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000000" w:rsidRDefault="004A27CE">
                        <w:pPr>
                          <w:spacing w:line="240" w:lineRule="atLeast"/>
                          <w:jc w:val="center"/>
                          <w:rPr>
                            <w:rFonts w:ascii="굴림체" w:eastAsia="굴림체" w:hAnsi="굴림체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0.1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∼</w:t>
                        </w:r>
                        <w:r>
                          <w:rPr>
                            <w:rFonts w:ascii="굴림체" w:eastAsia="굴림체" w:hAnsi="굴림체" w:hint="eastAsia"/>
                            <w:sz w:val="18"/>
                            <w:szCs w:val="18"/>
                          </w:rPr>
                          <w:t>4 </w:t>
                        </w:r>
                      </w:p>
                    </w:tc>
                  </w:tr>
                </w:tbl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4.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응급조치요령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들어갔을때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통증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눈부심등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발생시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즉시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병원에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전문의의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처치를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많은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양의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깨끗한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흐르는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15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행구시오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접촉했을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15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다량의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비누와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씻어내시오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즉시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의사의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진찰을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통증등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발생시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전문의에게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노출부위에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진찰을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피복을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제거하고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부위를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비누와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충분히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씻으시오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즉시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전문의의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진료를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피복과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신발을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제거하고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격리시키시오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곤란할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산소를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공급하시오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일방판막이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장착된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마스크나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호흡의료기기를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인공호흡을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실시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흡입하거나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섭취했을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흡입호흡법을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실시하지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인공호흡을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실시하시오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노출원으로부터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피하시고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맑은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공기가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곳으로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이동하시오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먹었을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섭취한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세척을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통한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제거는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출혈이나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관통의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합병증에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고려를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해야함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증상에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따라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전문의의로부터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만약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많은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양을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삼켰다면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처치를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받을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구토를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시키지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말고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머리를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엉덩이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아래로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숙여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구토를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시키시오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의사의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주의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사항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알려진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해독제는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없으며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5.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폭발·화재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시의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대처방법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부적적한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소화제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입자상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소화약제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가스계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소화약제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일반적인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포말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소화제로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못함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상황에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따라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탱크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폭발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800M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이격할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바람을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등지고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막대한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양의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약제를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형태로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분사하시오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화학물질로부터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생기는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열분해생성물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이산화탄소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탄소화합물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질소화합물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황화합물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폭발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수준의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화재진압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예방조치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방독마스크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공기호흡기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방열복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방열모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방열장갑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장화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예방조치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인원외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인원이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인근으로의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접근을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통제하시오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시간동안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살수하여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냉각시키시오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있다면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화재지역으로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이동시키시오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가능한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소화약제를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진압하시오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6.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누출사고시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대처방법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인체를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보호하기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필요한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조치사항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유기가스용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방독마스크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보호장갑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조치사항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피부접촉을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유기가스용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방독마스크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보호장갑을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증기량을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줄이기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뿌릴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누출을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차단하는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환경을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보호하기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필요한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조치사항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바람을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등지고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있도록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저지대를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살수하여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발생을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감소시키시오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흡수제를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수거하시오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누출된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물웅덩이의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바닥이나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격리수용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가능한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모래주머니를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쌓은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방벽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내로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옮기시오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누출된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장비를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수거하시오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흡수제를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수거하시오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제거방법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누출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누출된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처분을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위해서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옮기시오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모래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비가연성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흡수시키시오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누출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기준량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중앙정부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지방자치단체에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내용을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통지하시오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관계인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접근을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막고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지역을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격리하며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출입을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7.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취급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저장방법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안전취급요령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국소배기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환기장치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이용할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유증기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발생을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최소화할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있도록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용기등을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밀폐할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정전기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방지를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실시할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위험물안전관리법등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관계법에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따라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저장방법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피해야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조건을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격리된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장소에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결빙주의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고온체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주의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강산화제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접촉을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온도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5~35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옥외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직사광선을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오염발생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우려가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있으므로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완전히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밀폐해서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환기가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좋은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옥내에서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보관할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8.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방지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개인보호구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화학물질의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ACGIH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적절한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살수하여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발생을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감소시키시오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바람을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등지고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있도록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저지대를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개인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호흡보호는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최소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농도부터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최대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농도까지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사용빈도가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높거나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필요함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특성을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대책이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불안전하거나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근로자의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이상노출이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예상되는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유기용제용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성능을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사용토록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한국산업안전공단의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검정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("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"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미스트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위해가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예상되는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근로자가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보안경을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작업하도록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가까운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장소에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간이세안기구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식염수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세안설비를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설치하시오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유기용제용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성능을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사용토록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보호장갑을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내화학성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장갑을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지속적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장기적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장애가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예상되므로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/PVC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불투과성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보호장갑을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착용하도록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방진복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예방할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보호복을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내화학성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유출이나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엎지름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위해가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투과성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/PVC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보호앞치마를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후작업하고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필요시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불침투성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복을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착용하도록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9.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물리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화학적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특성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외관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연회색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냄새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특정용제냄새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냄새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역치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PH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녹는점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어는점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초기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끓는점과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끓는점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범위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112~150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℃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인화점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38.36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속도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인화점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,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폭발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범위의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용해도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증기밀도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공기보다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높다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1.2~1.4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옥탁올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분배계수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자연발화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온도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354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℃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온도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점도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분자량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10.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안정성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반응성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반응의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가능성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피해야할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정전기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충격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진동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스파크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점화원과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접축을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피하시오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피해야할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산화제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금속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가연성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생성되는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열분해생성물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탄소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11.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독성에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관한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정보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가능성이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높은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경로에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정보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통한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호흡곤란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저체온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구토……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입을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통한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섭취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설사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불규칙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심장박동…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신경이상…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접촉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눈손상…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건강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정보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&gt; 24000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증가될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14130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17600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17600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무자극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~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가벼운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자극성이므로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(nite).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중추신경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장애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폐수종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&gt; 3000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비자극성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300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㎍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/3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6-3. IARC : Group 2B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6-5. ACGIH : A4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살모넬라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살모넬라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8532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&gt; 5000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&gt; 5000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래빗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래빗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기니피그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/maximization test (GLP):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In vitro - Salmonella typhimurium/TA98, TA100, TA1535, TA1537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복귀돌연변이시험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GLP):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대사활성계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유무와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상관없이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Negative(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), CHL Cells/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염색체이상시험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(GLP):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대사활성계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유무와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상관없이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Negat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ive(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래트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간세포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/UDS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(GLP):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대사활성계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비존재시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Negative(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In vitro - Salmonella typhimurium/TA98, TA100, TA1535, TA1537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복귀돌연변이시험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GLP):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대사활성계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유무와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상관없이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Negative(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), CHL Cells/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염색체이상시험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(GLP):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대사활성계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유무와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상관없이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Negative(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래트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간세포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/UDS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(GLP):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대사활성계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비존재시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Negative(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간장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영향이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흰쥐에서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비장에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영향을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마우스에서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신경계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영향을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동물에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영향이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기도를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(ACGIH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간장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신경계의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영향이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보고됨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 (PATTY 5th)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8400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&gt; 2000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&gt; 2000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약한자극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(rabbit)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약한자극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(rabbit)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(Guinea Pig)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6-7. EU CLP : Carc. 1B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EU CLP: 1B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비율로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0.1%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미만의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벤젠을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적용하지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EU CLP: 1B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비율로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0.1%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미만의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벤젠을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적용하지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중추신경계에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영향을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고농도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의식상실을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우려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LD50=3550 mg/kg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4350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4350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토끼에서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중등도의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토끼에서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중등도의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6-3. IARC : Group 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6-5. ACGIH : A4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경세대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역학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체세포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in vivo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소핵시험·염색체시험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경세대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역학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체세포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in vivo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소핵시험·염색체시험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액체를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삼키면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화학적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폐렴을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5620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&gt; 18000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&gt; 18000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토끼에서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비자극성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토끼의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보여지지만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7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이내에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회복되므로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(nite).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토끼에서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실험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생체내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소핵시험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생체내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소핵시험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치사농도에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가까운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농도에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폐손상을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2080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3000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3000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rabbit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기니피그를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약한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일으킴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비자극적임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기니피그를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이용한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6-3. IARC : Group 2B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6-5. ACGIH : A3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적혈구를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이용하는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소핵시험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적혈구를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이용하는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소핵시험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기도·점막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두통·현기증·구토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작용을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수반하는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신경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증상이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나타남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동물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실험에서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작용이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나타남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탈진감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두통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작열감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구토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인두통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증상이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나타남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IARC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6-5. ACGIH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급성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LD50 = 6200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Rat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b.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c.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부식성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비자극성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심한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중간정도의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자극성이있음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각막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상피의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손상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결막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충혈시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1,2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복구됨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(ACGIH ( 2001))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12-4.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호흡기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12-5.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피부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과민성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12-6.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발암성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고용노동부고시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6-3. IARC : Group 1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6-4. OSHA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6-5. ACGIH : A3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6-6. NTP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6-7. EU CLP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12-7.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생식세포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변이원성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마우스에서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우성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치사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(ECHA)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12-8.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생식독성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마우스에서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우성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치사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시험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(ECHA)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12-9.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12-10.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특정표적장기독성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반복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12-11.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흡인유해성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12.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환경에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미치는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영향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생태독성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35.988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39.180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24.821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62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32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32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 Daphnia magna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1890.263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&gt; 100000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24 hr Brachydanio rerio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94983.781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48545.539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 Oryzias latipes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373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 Daphnia magna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1000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72 hr Selenastrum capricornutum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9.22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 Oncorhynchus mykiss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6.14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 Daphnia magna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19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72 hr Selenastrum capricornutum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LC50 230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 Pimephales promelas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EC50 717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 Daphnia magna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1800 ~ 3200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72 hr (Selenastrum sp.)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540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170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어류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LC50 = 42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96 hr Oncorhynchus mykiss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갑각류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EC50 = 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㎎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ℓ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48 hr Daphnia magna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12-3.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조류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log Kow = 1.78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log Kow = 0.63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log Kow = -1.50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log Kow = 0.43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log Kow = 2.1 ~ 6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(Estimates)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BOD5/COD = 0.43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log Kow 0.73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BOD5/COD 0.81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log Kow = 1.38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BOD5/COD = 0.57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생물농축성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BCF = 10.38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Biodegradability = 98 (%)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3-2.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BCF = 3.162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6-2.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Biodegradability &gt; 60 (%) 28 day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39 (%)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BCF 30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100 (%) 28 day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10-2.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11-2.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12-1.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농축성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12-2.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생분해성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Biodegradability = 75 (%) 20 day (Aerobic, Other, Easily decomposed)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토양이동성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log Kow = 3.12 (measured) (ortho), 3.2 (measured) (meta), 3.15 (measurements) (p) (5)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Koc = 1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영향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br/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13.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폐기시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주의사항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폐기방법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폐기물은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밀폐용기에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보관하고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폐기물관리법에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따라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위탁처리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주의사항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포장의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방법을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적용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따라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무단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처분이나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소각은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자연생태계에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유해하므로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br/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14.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운송에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필요한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정보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유엔번호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1263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적정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선적명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페인트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페인트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래커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에나멜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착색제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셸락용액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바니시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광택제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액체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충전물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액체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래커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전색제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페인트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페인트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희석제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환원제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포함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운송에서의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3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용기등급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해당하는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Ⅲ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해양오염물질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비해당으로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표기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사용자가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운송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또는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운송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수단에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관련해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필요가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있거나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필요한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특별한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대책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화재시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비상조치의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종류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F-E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유출시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비상조치의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종류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S-E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br/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15.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법적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규제현황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규제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TWA : 10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초산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부틸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TWA : 150 ppm 710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STEL : 200 ppm 950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가용성화합물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)TWA : 0.5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0%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소우프스톤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TWA : 3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디메틸벤젠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TWA : 100 ppm 435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STEL : 150 ppm 655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TWA : 400 ppm 1400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헥손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TWA : 50 ppm 205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STEL : 75 ppm 300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작업환경측정대상물질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특수건강검진대상물질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노출기준설정물질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TWA : 1000 ppm 1900 mg/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㎥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허용기준설정물질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화학물질관리법에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규제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KE-30681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KE-04179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KE-02092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화합물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KE-32773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[Talc, 14807-96-6]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KE-23315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KE-31662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KE-35427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크실렌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[Xylene; 1330-20-7]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85%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혼합물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97-1-275 85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(o-,m-,p-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이성질체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혼합물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KE-00047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[Ethyl acetate; 141-78-6]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85%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혼합물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97-1-161 85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1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(Ethyl acetate) 25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KE-24725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기존물질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KE-13217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신규물질로서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등록된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유독물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관찰물질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취급제한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금지물질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배출량조사대상물질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사고대비물질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위험물안전관리법에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비수용성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비수용성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비수용성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비수용성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비수용성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wordWrap w:val="0"/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알코올류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폐기물관리법에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중앙정부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지방자치단체의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준수할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것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.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외국법에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의한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규제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금홍석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이산화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티타늄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2) n-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2267.995 kg 5000 lb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3) S1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4)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황산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바륨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(EPCRA 3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5)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탈크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석면이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함유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되어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있지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않은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6)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1-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메톡시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프로필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7)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방향족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경질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나프타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용매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석유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(EPCR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8)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자일렌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다이메틸벤젠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45.3599 kg 100 lb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9)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아세트산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아세테이트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2267.995 kg 5000 lb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10) 4-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-2-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펜탄온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; 2-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메틸아이소뷰틸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케톤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2267.995 kg 5000 lb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11) S2 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영업비밀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12)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에탄올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국내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잔류성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유기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오염물질관리법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(OSHA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(CERCLA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302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304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(EPCRA 313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당없음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로테르담협약물질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스톡홀름협약물질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미국관리정보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몬트리올의정서물질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확정분류결과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위험문구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▷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EU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분류정보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안전문구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)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해당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없음</w:t>
                  </w: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br/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6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16.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sz w:val="18"/>
                      <w:szCs w:val="18"/>
                    </w:rPr>
                    <w:t>참고사항</w:t>
                  </w:r>
                </w:p>
              </w:tc>
            </w:tr>
            <w:tr w:rsidR="00000000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2"/>
                      <w:szCs w:val="1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6"/>
                      <w:szCs w:val="18"/>
                    </w:rPr>
                  </w:pP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vanish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3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자료의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출처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산업안전보건법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br/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한국산업안전공단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물질안전보건자료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작성실무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br/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KOSHA CODE W-05-2007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【물질안전보건자료작성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지침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, 2012.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】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최초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작성일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2016-12-26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3:56:21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횟수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최종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개정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일자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1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회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(2016-12-26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오후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3:56:21)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27CE">
                  <w:pPr>
                    <w:spacing w:line="240" w:lineRule="atLeast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기타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: MSDS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게시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정보</w:t>
                  </w:r>
                  <w:r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 " WWW.NOROO.CO.KR"</w:t>
                  </w:r>
                </w:p>
              </w:tc>
            </w:tr>
          </w:tbl>
          <w:p w:rsidR="00000000" w:rsidRDefault="004A27CE">
            <w:pPr>
              <w:spacing w:line="240" w:lineRule="atLeast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</w:tbl>
    <w:p w:rsidR="004A27CE" w:rsidRDefault="004A27CE">
      <w:pPr>
        <w:rPr>
          <w:rFonts w:hint="eastAsia"/>
          <w:color w:val="auto"/>
        </w:rPr>
      </w:pPr>
    </w:p>
    <w:sectPr w:rsidR="004A27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D4D8E"/>
    <w:rsid w:val="004A27CE"/>
    <w:rsid w:val="00D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F1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굴림" w:eastAsia="굴림" w:hAnsi="굴림" w:cs="굴림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굴림체" w:eastAsia="굴림체" w:hAnsi="굴림체" w:hint="eastAsia"/>
      <w:strike w:val="0"/>
      <w:dstrike w:val="0"/>
      <w:color w:val="16A4CC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ascii="굴림체" w:eastAsia="굴림체" w:hAnsi="굴림체" w:hint="eastAsia"/>
      <w:strike w:val="0"/>
      <w:dstrike w:val="0"/>
      <w:color w:val="16A4CC"/>
      <w:sz w:val="18"/>
      <w:szCs w:val="18"/>
      <w:u w:val="none"/>
      <w:effect w:val="none"/>
    </w:rPr>
  </w:style>
  <w:style w:type="paragraph" w:customStyle="1" w:styleId="top">
    <w:name w:val="top"/>
    <w:basedOn w:val="a"/>
    <w:pPr>
      <w:spacing w:before="100" w:beforeAutospacing="1" w:after="100" w:afterAutospacing="1" w:line="260" w:lineRule="atLeast"/>
    </w:pPr>
    <w:rPr>
      <w:rFonts w:ascii="굴림체" w:eastAsia="굴림체" w:hAnsi="굴림체"/>
      <w:sz w:val="18"/>
      <w:szCs w:val="18"/>
    </w:rPr>
  </w:style>
  <w:style w:type="paragraph" w:customStyle="1" w:styleId="dot">
    <w:name w:val="dot"/>
    <w:basedOn w:val="a"/>
    <w:pPr>
      <w:spacing w:before="100" w:beforeAutospacing="1" w:after="100" w:afterAutospacing="1"/>
    </w:pPr>
    <w:rPr>
      <w:rFonts w:ascii="굴림체" w:eastAsia="굴림체" w:hAnsi="굴림체"/>
      <w:color w:val="F36300"/>
      <w:sz w:val="10"/>
      <w:szCs w:val="10"/>
      <w:effect w:val="blinkBackground"/>
    </w:rPr>
  </w:style>
  <w:style w:type="paragraph" w:customStyle="1" w:styleId="normal">
    <w:name w:val="normal"/>
    <w:basedOn w:val="a"/>
    <w:pPr>
      <w:spacing w:before="100" w:beforeAutospacing="1" w:after="100" w:afterAutospacing="1"/>
    </w:pPr>
    <w:rPr>
      <w:rFonts w:ascii="굴림체" w:eastAsia="굴림체" w:hAnsi="굴림체"/>
      <w:sz w:val="18"/>
      <w:szCs w:val="18"/>
      <w:effect w:val="blinkBackground"/>
    </w:rPr>
  </w:style>
  <w:style w:type="paragraph" w:customStyle="1" w:styleId="normal1">
    <w:name w:val="normal1"/>
    <w:basedOn w:val="a"/>
    <w:pPr>
      <w:spacing w:before="100" w:beforeAutospacing="1" w:after="100" w:afterAutospacing="1"/>
    </w:pPr>
    <w:rPr>
      <w:rFonts w:ascii="굴림체" w:eastAsia="굴림체" w:hAnsi="굴림체"/>
      <w:sz w:val="20"/>
      <w:szCs w:val="20"/>
      <w:effect w:val="blinkBackground"/>
    </w:rPr>
  </w:style>
  <w:style w:type="paragraph" w:customStyle="1" w:styleId="title">
    <w:name w:val="title"/>
    <w:basedOn w:val="a"/>
    <w:pPr>
      <w:spacing w:before="100" w:beforeAutospacing="1" w:after="100" w:afterAutospacing="1" w:line="300" w:lineRule="atLeast"/>
    </w:pPr>
    <w:rPr>
      <w:rFonts w:ascii="돋움체" w:eastAsia="돋움체" w:hAnsi="돋움체"/>
      <w:sz w:val="22"/>
      <w:szCs w:val="22"/>
    </w:rPr>
  </w:style>
  <w:style w:type="paragraph" w:customStyle="1" w:styleId="input">
    <w:name w:val="inpu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돋움체" w:eastAsia="돋움체" w:hAnsi="돋움체"/>
      <w:sz w:val="18"/>
      <w:szCs w:val="18"/>
    </w:rPr>
  </w:style>
  <w:style w:type="paragraph" w:customStyle="1" w:styleId="input01">
    <w:name w:val="input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돋움체" w:eastAsia="돋움체" w:hAnsi="돋움체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DD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D4D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굴림" w:eastAsia="굴림" w:hAnsi="굴림" w:cs="굴림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굴림체" w:eastAsia="굴림체" w:hAnsi="굴림체" w:hint="eastAsia"/>
      <w:strike w:val="0"/>
      <w:dstrike w:val="0"/>
      <w:color w:val="16A4CC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ascii="굴림체" w:eastAsia="굴림체" w:hAnsi="굴림체" w:hint="eastAsia"/>
      <w:strike w:val="0"/>
      <w:dstrike w:val="0"/>
      <w:color w:val="16A4CC"/>
      <w:sz w:val="18"/>
      <w:szCs w:val="18"/>
      <w:u w:val="none"/>
      <w:effect w:val="none"/>
    </w:rPr>
  </w:style>
  <w:style w:type="paragraph" w:customStyle="1" w:styleId="top">
    <w:name w:val="top"/>
    <w:basedOn w:val="a"/>
    <w:pPr>
      <w:spacing w:before="100" w:beforeAutospacing="1" w:after="100" w:afterAutospacing="1" w:line="260" w:lineRule="atLeast"/>
    </w:pPr>
    <w:rPr>
      <w:rFonts w:ascii="굴림체" w:eastAsia="굴림체" w:hAnsi="굴림체"/>
      <w:sz w:val="18"/>
      <w:szCs w:val="18"/>
    </w:rPr>
  </w:style>
  <w:style w:type="paragraph" w:customStyle="1" w:styleId="dot">
    <w:name w:val="dot"/>
    <w:basedOn w:val="a"/>
    <w:pPr>
      <w:spacing w:before="100" w:beforeAutospacing="1" w:after="100" w:afterAutospacing="1"/>
    </w:pPr>
    <w:rPr>
      <w:rFonts w:ascii="굴림체" w:eastAsia="굴림체" w:hAnsi="굴림체"/>
      <w:color w:val="F36300"/>
      <w:sz w:val="10"/>
      <w:szCs w:val="10"/>
      <w:effect w:val="blinkBackground"/>
    </w:rPr>
  </w:style>
  <w:style w:type="paragraph" w:customStyle="1" w:styleId="normal">
    <w:name w:val="normal"/>
    <w:basedOn w:val="a"/>
    <w:pPr>
      <w:spacing w:before="100" w:beforeAutospacing="1" w:after="100" w:afterAutospacing="1"/>
    </w:pPr>
    <w:rPr>
      <w:rFonts w:ascii="굴림체" w:eastAsia="굴림체" w:hAnsi="굴림체"/>
      <w:sz w:val="18"/>
      <w:szCs w:val="18"/>
      <w:effect w:val="blinkBackground"/>
    </w:rPr>
  </w:style>
  <w:style w:type="paragraph" w:customStyle="1" w:styleId="normal1">
    <w:name w:val="normal1"/>
    <w:basedOn w:val="a"/>
    <w:pPr>
      <w:spacing w:before="100" w:beforeAutospacing="1" w:after="100" w:afterAutospacing="1"/>
    </w:pPr>
    <w:rPr>
      <w:rFonts w:ascii="굴림체" w:eastAsia="굴림체" w:hAnsi="굴림체"/>
      <w:sz w:val="20"/>
      <w:szCs w:val="20"/>
      <w:effect w:val="blinkBackground"/>
    </w:rPr>
  </w:style>
  <w:style w:type="paragraph" w:customStyle="1" w:styleId="title">
    <w:name w:val="title"/>
    <w:basedOn w:val="a"/>
    <w:pPr>
      <w:spacing w:before="100" w:beforeAutospacing="1" w:after="100" w:afterAutospacing="1" w:line="300" w:lineRule="atLeast"/>
    </w:pPr>
    <w:rPr>
      <w:rFonts w:ascii="돋움체" w:eastAsia="돋움체" w:hAnsi="돋움체"/>
      <w:sz w:val="22"/>
      <w:szCs w:val="22"/>
    </w:rPr>
  </w:style>
  <w:style w:type="paragraph" w:customStyle="1" w:styleId="input">
    <w:name w:val="inpu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돋움체" w:eastAsia="돋움체" w:hAnsi="돋움체"/>
      <w:sz w:val="18"/>
      <w:szCs w:val="18"/>
    </w:rPr>
  </w:style>
  <w:style w:type="paragraph" w:customStyle="1" w:styleId="input01">
    <w:name w:val="input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돋움체" w:eastAsia="돋움체" w:hAnsi="돋움체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DD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D4D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.noroo.co.kr/msds/home/images/GHS08.bmp" TargetMode="External"/><Relationship Id="rId3" Type="http://schemas.openxmlformats.org/officeDocument/2006/relationships/settings" Target="settings.xml"/><Relationship Id="rId7" Type="http://schemas.openxmlformats.org/officeDocument/2006/relationships/image" Target="http://office.noroo.co.kr/msds/home/images/GHS06.bm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office.noroo.co.kr/msds/home/images/GHS02.bmp" TargetMode="External"/><Relationship Id="rId5" Type="http://schemas.openxmlformats.org/officeDocument/2006/relationships/image" Target="http://office.noroo.co.kr/msds/home/images/noroo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유광현</dc:creator>
  <cp:lastModifiedBy>유광현</cp:lastModifiedBy>
  <cp:revision>2</cp:revision>
  <dcterms:created xsi:type="dcterms:W3CDTF">2017-02-06T23:51:00Z</dcterms:created>
  <dcterms:modified xsi:type="dcterms:W3CDTF">2017-02-06T23:51:00Z</dcterms:modified>
</cp:coreProperties>
</file>